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Наш опыт инновационного педагогического проектирования связан с созданием в школе воспитательных ресурсов для реализации «Национальной стратегии действий в интересах детей на 2012-2017 гг.»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Внешними факторами, обеспечивающими успех проекта, являются результаты предварительной работы с родителями над проблемой понимания сущности позиции социального партнерства,  изучение  уровня партнёрских отношений между родителями и педагогами школы; результаты работы классного руководителя над повышением  психолого-педагогической культуры родителей; уникальность опыта педагога как исследователя проблемы социального партнерства семьи и школы в воспитании и социализации обучающихся.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 основу Концепции проекта  положены идеи о том, что социальное партнерство – одна из эффективных технологий  реализации «Национальной стратегии…»,  совершенствования у родителей позиций «ответственного родителя» и «успешного и позитивного «</w:t>
      </w:r>
      <w:proofErr w:type="spellStart"/>
      <w:r>
        <w:rPr>
          <w:rFonts w:ascii="cuprum" w:hAnsi="cuprum"/>
          <w:color w:val="000000"/>
          <w:sz w:val="27"/>
          <w:szCs w:val="27"/>
        </w:rPr>
        <w:t>родительства</w:t>
      </w:r>
      <w:proofErr w:type="spellEnd"/>
      <w:r>
        <w:rPr>
          <w:rFonts w:ascii="cuprum" w:hAnsi="cuprum"/>
          <w:color w:val="000000"/>
          <w:sz w:val="27"/>
          <w:szCs w:val="27"/>
        </w:rPr>
        <w:t>».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Наиболее сложно для учителя – разработать целевой блок инновационного проекта; представить декомпозицию цели в задачах; определить критерии, показатели, индикаторы достижения планируемых результатов.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Цель нашего проекта: разработать и апробировать модель социального партнерства семьи и школы.  Задачи: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1.Разработка технологии развития отношений социального партнерства  родителей и педагога.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Мы предположили, что наша технология должна быть востребована у педагогов и родителей. Отсюда, показателями и индикаторами стали: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увеличение количества педагогов школы и нашего города, применяющих разработанную нами технологию социального партнерства  и тиражирующие их в социальной и профессиональной среде (на 15%);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повышение у родителей  уровня удовлетворенности отношениями социального партнерства детей, родителей и педагогов (на 30%).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2.Овладение  педагогом и родителями компетенциями социального партнерства в решении проблем социализации школьников.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Показатели и индикаторы: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увеличение количества родителей, участвующих в социальных проектах семьи и школы (на 20%);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повышение у школьников уровня удовлетворенности совместными делами и общением с педагогами и родителями (на 30%).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lastRenderedPageBreak/>
        <w:t>3.Создание и описание инновационного педагогического опыта реализации «Национальной стратегии…».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Показатели и индикаторы: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увеличение количества педагогов школы и города, применяющих рекомендации по развитию социального партнерства  и тиражирующие их в социальной и профессиональной среде (на 15%);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увеличение количества родителей, использующих рекомендации школы в семейном воспитании (на 10%).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Педагогическим проектом предусмотрено проведение цикла классных и школьных мероприятий: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мастер-класс «Родители как социальные партнеры школы»;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школьный праздник «День Матери» (как проект 6 класса для школы);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цикл родительских собраний по темам, обозначенным  в «Национальной стратегии …» и т.д.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Педагогическая ценность проекта заключается в том, что развитие тесного партнёрства семьи и школы способствует гармоничному развитию ребёнка как личности; что в процессе социального партнерства создается система ресурсов (личностных, организационных, методических) для решения  образовательных и социальных проблем.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Данный проект по характеру инновационный и среднесрочный. Реализуется в 1 этап.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Условиями реализации педагогического проекта являются: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создание нормативно-правовых условий локальных (внутренних) актов работы с родителями (кодекс родителей, договор родителей и классного руководителя, положения и соглашения о социальном партнерстве с детьми; протоколы родительских собраний);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развитие мотивационных условий социального партнерства (мотивы защиты интересов детей и повышения качества жизни детей);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совершенствование методических условий (повышение методической компетенции педагогов; обеспечение реализации инновационных педагогических проектов).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Возможные риски в процессе реализации проекта: изменение направлений развития государственной политики в отношении детства.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Планируемые результаты: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модель социального партнерства семьи и школы;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технология социального партнерства;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методика изучения позиции родителей как социальных партнеров;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комплект локальных актов по вопросам социального партнерства родителей и классного руководителя, родителей и учащихся;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методические разработки мастер-классов, родительских собраний и совместных  мероприятий по реализации «Национальной стратегии».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Эффекты от реализации проекта: динамика личностного роста детей как социальных партнеров взрослых; наращивание инновационного потенциала ресурсного обеспечения процесса воспитания и социализации обучающихся, создание единого пространства социального партнерства семьи и школы.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Литература: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 xml:space="preserve">1.Гончарова Т.В. Партнерство во имя детства: классный руководитель и родители \ Научный поиск в социализации: концепции, технологии, опыт.  Материалы Международной научно-практической конференции. / Ред.: </w:t>
      </w:r>
      <w:proofErr w:type="spellStart"/>
      <w:r>
        <w:rPr>
          <w:rFonts w:ascii="cuprum" w:hAnsi="cuprum"/>
          <w:color w:val="000000"/>
          <w:sz w:val="27"/>
          <w:szCs w:val="27"/>
        </w:rPr>
        <w:t>Л.И.Клочкова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. – М., </w:t>
      </w:r>
      <w:proofErr w:type="spellStart"/>
      <w:r>
        <w:rPr>
          <w:rFonts w:ascii="cuprum" w:hAnsi="cuprum"/>
          <w:color w:val="000000"/>
          <w:sz w:val="27"/>
          <w:szCs w:val="27"/>
        </w:rPr>
        <w:t>АПКиППРО</w:t>
      </w:r>
      <w:proofErr w:type="spellEnd"/>
      <w:r>
        <w:rPr>
          <w:rFonts w:ascii="cuprum" w:hAnsi="cuprum"/>
          <w:color w:val="000000"/>
          <w:sz w:val="27"/>
          <w:szCs w:val="27"/>
        </w:rPr>
        <w:t>. – 2013. 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 xml:space="preserve">2.Клочкова Л.И. и др. Инновационный педагогический проект «Повышение качества жизни детей средствами образования: социальное партнёрство семьи и школы во имя детства». Программа развития  «Школы социального успеха» на 2012 – 2015 </w:t>
      </w:r>
      <w:proofErr w:type="spellStart"/>
      <w:r>
        <w:rPr>
          <w:rFonts w:ascii="cuprum" w:hAnsi="cuprum"/>
          <w:color w:val="000000"/>
          <w:sz w:val="27"/>
          <w:szCs w:val="27"/>
        </w:rPr>
        <w:t>г.г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. \ «Школа социального успеха»: инновационные ресурсы развития \\  Сост. и ред.: </w:t>
      </w:r>
      <w:proofErr w:type="spellStart"/>
      <w:r>
        <w:rPr>
          <w:rFonts w:ascii="cuprum" w:hAnsi="cuprum"/>
          <w:color w:val="000000"/>
          <w:sz w:val="27"/>
          <w:szCs w:val="27"/>
        </w:rPr>
        <w:t>Л.И.Клочкова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, </w:t>
      </w:r>
      <w:proofErr w:type="spellStart"/>
      <w:r>
        <w:rPr>
          <w:rFonts w:ascii="cuprum" w:hAnsi="cuprum"/>
          <w:color w:val="000000"/>
          <w:sz w:val="27"/>
          <w:szCs w:val="27"/>
        </w:rPr>
        <w:t>Л.И.Косикова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– М.: </w:t>
      </w:r>
      <w:proofErr w:type="spellStart"/>
      <w:r>
        <w:rPr>
          <w:rFonts w:ascii="cuprum" w:hAnsi="cuprum"/>
          <w:color w:val="000000"/>
          <w:sz w:val="27"/>
          <w:szCs w:val="27"/>
        </w:rPr>
        <w:t>АПКиППРО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РФ. –  2013. – 1 </w:t>
      </w:r>
      <w:proofErr w:type="spellStart"/>
      <w:r>
        <w:rPr>
          <w:rFonts w:ascii="cuprum" w:hAnsi="cuprum"/>
          <w:color w:val="000000"/>
          <w:sz w:val="27"/>
          <w:szCs w:val="27"/>
        </w:rPr>
        <w:t>п.л</w:t>
      </w:r>
      <w:proofErr w:type="spellEnd"/>
      <w:r>
        <w:rPr>
          <w:rFonts w:ascii="cuprum" w:hAnsi="cuprum"/>
          <w:color w:val="000000"/>
          <w:sz w:val="27"/>
          <w:szCs w:val="27"/>
        </w:rPr>
        <w:t>.</w:t>
      </w:r>
    </w:p>
    <w:p w:rsidR="0018787A" w:rsidRDefault="0018787A" w:rsidP="0018787A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 </w:t>
      </w:r>
    </w:p>
    <w:p w:rsidR="007D3D13" w:rsidRPr="0018787A" w:rsidRDefault="007D3D13" w:rsidP="0018787A">
      <w:bookmarkStart w:id="0" w:name="_GoBack"/>
      <w:bookmarkEnd w:id="0"/>
    </w:p>
    <w:sectPr w:rsidR="007D3D13" w:rsidRPr="0018787A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343D88"/>
    <w:rsid w:val="00673934"/>
    <w:rsid w:val="007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Macintosh Word</Application>
  <DocSecurity>0</DocSecurity>
  <Lines>37</Lines>
  <Paragraphs>10</Paragraphs>
  <ScaleCrop>false</ScaleCrop>
  <Company>olga-shalabanova@mil.ru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2017-10-22T19:48:00Z</dcterms:created>
  <dcterms:modified xsi:type="dcterms:W3CDTF">2017-10-22T19:48:00Z</dcterms:modified>
</cp:coreProperties>
</file>